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2C0" w:rsidRPr="00AF12C0" w:rsidRDefault="00ED7BB5" w:rsidP="00AF12C0">
      <w:pPr>
        <w:pStyle w:val="3"/>
        <w:spacing w:before="0" w:line="240" w:lineRule="atLeast"/>
        <w:jc w:val="center"/>
        <w:rPr>
          <w:b w:val="0"/>
          <w:caps/>
          <w:color w:val="auto"/>
        </w:rPr>
      </w:pPr>
      <w:r w:rsidRPr="00ED7BB5">
        <w:rPr>
          <w:rFonts w:eastAsia="Times New Roman"/>
          <w:color w:val="FFFFFF"/>
          <w:kern w:val="36"/>
        </w:rPr>
        <w:t xml:space="preserve">нанизмом, болезнью Гоше, злокачественными новообразованиями лимфоидной, </w:t>
      </w:r>
      <w:r w:rsidR="00AF12C0" w:rsidRPr="00AF12C0">
        <w:rPr>
          <w:rStyle w:val="a4"/>
          <w:rFonts w:ascii="Arial" w:hAnsi="Arial" w:cs="Arial"/>
          <w:b/>
          <w:caps/>
          <w:color w:val="auto"/>
          <w:sz w:val="20"/>
          <w:szCs w:val="20"/>
          <w:bdr w:val="none" w:sz="0" w:space="0" w:color="auto" w:frame="1"/>
        </w:rPr>
        <w:t>ПЕРЕЧЕНЬ</w:t>
      </w:r>
    </w:p>
    <w:p w:rsidR="00AF12C0" w:rsidRPr="00AF12C0" w:rsidRDefault="00AF12C0" w:rsidP="00AF12C0">
      <w:pPr>
        <w:pStyle w:val="3"/>
        <w:spacing w:before="0" w:line="240" w:lineRule="atLeast"/>
        <w:jc w:val="center"/>
        <w:rPr>
          <w:b w:val="0"/>
          <w:caps/>
          <w:color w:val="auto"/>
        </w:rPr>
      </w:pPr>
      <w:r w:rsidRPr="00AF12C0">
        <w:rPr>
          <w:rStyle w:val="a4"/>
          <w:rFonts w:ascii="Arial" w:hAnsi="Arial" w:cs="Arial"/>
          <w:b/>
          <w:caps/>
          <w:color w:val="auto"/>
          <w:sz w:val="20"/>
          <w:szCs w:val="20"/>
          <w:bdr w:val="none" w:sz="0" w:space="0" w:color="auto" w:frame="1"/>
        </w:rPr>
        <w:t>ЛЕКАРСТВЕННЫХ ПРЕПАРАТОВ, ПРЕДНАЗНАЧЕННЫХ ДЛЯ ОБЕСПЕЧЕНИЯ</w:t>
      </w:r>
    </w:p>
    <w:p w:rsidR="00AF12C0" w:rsidRPr="00AF12C0" w:rsidRDefault="00AF12C0" w:rsidP="00AF12C0">
      <w:pPr>
        <w:pStyle w:val="3"/>
        <w:spacing w:before="0" w:line="240" w:lineRule="atLeast"/>
        <w:jc w:val="center"/>
        <w:rPr>
          <w:b w:val="0"/>
          <w:caps/>
          <w:color w:val="auto"/>
        </w:rPr>
      </w:pPr>
      <w:r w:rsidRPr="00AF12C0">
        <w:rPr>
          <w:rStyle w:val="a4"/>
          <w:rFonts w:ascii="Arial" w:hAnsi="Arial" w:cs="Arial"/>
          <w:b/>
          <w:caps/>
          <w:color w:val="auto"/>
          <w:sz w:val="20"/>
          <w:szCs w:val="20"/>
          <w:bdr w:val="none" w:sz="0" w:space="0" w:color="auto" w:frame="1"/>
        </w:rPr>
        <w:t xml:space="preserve">ЛИЦ, БОЛЬНЫХ ГЕМОФИЛИЕЙ, МУКОВИСЦИДОЗОМ, </w:t>
      </w:r>
      <w:proofErr w:type="gramStart"/>
      <w:r w:rsidRPr="00AF12C0">
        <w:rPr>
          <w:rStyle w:val="a4"/>
          <w:rFonts w:ascii="Arial" w:hAnsi="Arial" w:cs="Arial"/>
          <w:b/>
          <w:caps/>
          <w:color w:val="auto"/>
          <w:sz w:val="20"/>
          <w:szCs w:val="20"/>
          <w:bdr w:val="none" w:sz="0" w:space="0" w:color="auto" w:frame="1"/>
        </w:rPr>
        <w:t>ГИПОФИЗАРНЫМ</w:t>
      </w:r>
      <w:proofErr w:type="gramEnd"/>
    </w:p>
    <w:p w:rsidR="00AF12C0" w:rsidRPr="00AF12C0" w:rsidRDefault="00AF12C0" w:rsidP="00AF12C0">
      <w:pPr>
        <w:pStyle w:val="3"/>
        <w:spacing w:before="0" w:line="240" w:lineRule="atLeast"/>
        <w:jc w:val="center"/>
        <w:rPr>
          <w:b w:val="0"/>
          <w:caps/>
          <w:color w:val="auto"/>
        </w:rPr>
      </w:pPr>
      <w:r w:rsidRPr="00AF12C0">
        <w:rPr>
          <w:rStyle w:val="a4"/>
          <w:rFonts w:ascii="Arial" w:hAnsi="Arial" w:cs="Arial"/>
          <w:b/>
          <w:caps/>
          <w:color w:val="auto"/>
          <w:sz w:val="20"/>
          <w:szCs w:val="20"/>
          <w:bdr w:val="none" w:sz="0" w:space="0" w:color="auto" w:frame="1"/>
        </w:rPr>
        <w:t>НАНИЗМОМ, БОЛЕЗНЬЮ ГОШЕ, ЗЛОКАЧЕСТВЕННЫМИ НОВООБРАЗОВАНИЯМИ</w:t>
      </w:r>
    </w:p>
    <w:p w:rsidR="00AF12C0" w:rsidRPr="00AF12C0" w:rsidRDefault="00AF12C0" w:rsidP="00AF12C0">
      <w:pPr>
        <w:pStyle w:val="3"/>
        <w:spacing w:before="0" w:line="240" w:lineRule="atLeast"/>
        <w:jc w:val="center"/>
        <w:rPr>
          <w:b w:val="0"/>
          <w:caps/>
          <w:color w:val="auto"/>
        </w:rPr>
      </w:pPr>
      <w:r w:rsidRPr="00AF12C0">
        <w:rPr>
          <w:rStyle w:val="a4"/>
          <w:rFonts w:ascii="Arial" w:hAnsi="Arial" w:cs="Arial"/>
          <w:b/>
          <w:caps/>
          <w:color w:val="auto"/>
          <w:sz w:val="20"/>
          <w:szCs w:val="20"/>
          <w:bdr w:val="none" w:sz="0" w:space="0" w:color="auto" w:frame="1"/>
        </w:rPr>
        <w:t>ЛИМФОИДНОЙ, КРОВЕТВОРНОЙ И РОДСТВЕННЫХ ИМ ТКАНЕЙ,</w:t>
      </w:r>
    </w:p>
    <w:p w:rsidR="00AF12C0" w:rsidRPr="00AF12C0" w:rsidRDefault="00AF12C0" w:rsidP="00AF12C0">
      <w:pPr>
        <w:pStyle w:val="3"/>
        <w:spacing w:before="0" w:line="240" w:lineRule="atLeast"/>
        <w:jc w:val="center"/>
        <w:rPr>
          <w:b w:val="0"/>
          <w:caps/>
          <w:color w:val="auto"/>
        </w:rPr>
      </w:pPr>
      <w:r w:rsidRPr="00AF12C0">
        <w:rPr>
          <w:rStyle w:val="a4"/>
          <w:rFonts w:ascii="Arial" w:hAnsi="Arial" w:cs="Arial"/>
          <w:b/>
          <w:caps/>
          <w:color w:val="auto"/>
          <w:sz w:val="20"/>
          <w:szCs w:val="20"/>
          <w:bdr w:val="none" w:sz="0" w:space="0" w:color="auto" w:frame="1"/>
        </w:rPr>
        <w:t>РАССЕЯННЫМ СКЛЕРОЗОМ, ЛИЦ ПОСЛЕ ТРАНСПЛАНТАЦИИ</w:t>
      </w:r>
    </w:p>
    <w:p w:rsidR="00AF12C0" w:rsidRPr="00AF12C0" w:rsidRDefault="00AF12C0" w:rsidP="00AF12C0">
      <w:pPr>
        <w:pStyle w:val="3"/>
        <w:spacing w:before="0" w:line="240" w:lineRule="atLeast"/>
        <w:jc w:val="center"/>
        <w:rPr>
          <w:b w:val="0"/>
          <w:caps/>
          <w:color w:val="auto"/>
        </w:rPr>
      </w:pPr>
      <w:r w:rsidRPr="00AF12C0">
        <w:rPr>
          <w:rStyle w:val="a4"/>
          <w:rFonts w:ascii="Arial" w:hAnsi="Arial" w:cs="Arial"/>
          <w:b/>
          <w:caps/>
          <w:color w:val="auto"/>
          <w:sz w:val="20"/>
          <w:szCs w:val="20"/>
          <w:bdr w:val="none" w:sz="0" w:space="0" w:color="auto" w:frame="1"/>
        </w:rPr>
        <w:t>ОРГАНОВ И (ИЛИ) ТКАНЕЙ</w:t>
      </w:r>
    </w:p>
    <w:p w:rsidR="00ED7BB5" w:rsidRPr="00ED7BB5" w:rsidRDefault="00ED7BB5" w:rsidP="00AF12C0">
      <w:pPr>
        <w:spacing w:after="0" w:line="240" w:lineRule="auto"/>
        <w:ind w:firstLine="709"/>
        <w:rPr>
          <w:rFonts w:ascii="Arial" w:eastAsia="Times New Roman" w:hAnsi="Arial" w:cs="Arial"/>
          <w:color w:val="FFFFFF"/>
          <w:kern w:val="36"/>
          <w:sz w:val="20"/>
          <w:szCs w:val="20"/>
        </w:rPr>
      </w:pPr>
      <w:r w:rsidRPr="00ED7BB5">
        <w:rPr>
          <w:rFonts w:ascii="Arial" w:eastAsia="Times New Roman" w:hAnsi="Arial" w:cs="Arial"/>
          <w:color w:val="FFFFFF"/>
          <w:kern w:val="36"/>
          <w:sz w:val="20"/>
          <w:szCs w:val="20"/>
        </w:rPr>
        <w:t>органов и (или) тканей:</w:t>
      </w:r>
    </w:p>
    <w:p w:rsidR="00AF12C0" w:rsidRPr="00AF12C0" w:rsidRDefault="00AF12C0" w:rsidP="00AF12C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olor w:val="4D4D4D"/>
          <w:sz w:val="20"/>
          <w:szCs w:val="20"/>
        </w:rPr>
      </w:pPr>
    </w:p>
    <w:p w:rsidR="00AF12C0" w:rsidRPr="00AF12C0" w:rsidRDefault="00AF12C0" w:rsidP="00AF12C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olor w:val="4D4D4D"/>
          <w:sz w:val="20"/>
          <w:szCs w:val="20"/>
        </w:rPr>
      </w:pPr>
    </w:p>
    <w:p w:rsidR="00AF12C0" w:rsidRPr="00AF12C0" w:rsidRDefault="00AF12C0" w:rsidP="00AF12C0">
      <w:pPr>
        <w:pStyle w:val="a3"/>
        <w:shd w:val="clear" w:color="auto" w:fill="FFFFFF"/>
        <w:spacing w:before="0" w:beforeAutospacing="0" w:after="115" w:afterAutospacing="0" w:line="183" w:lineRule="atLeast"/>
        <w:jc w:val="right"/>
        <w:rPr>
          <w:rFonts w:ascii="Arial" w:hAnsi="Arial" w:cs="Arial"/>
          <w:sz w:val="18"/>
          <w:szCs w:val="18"/>
        </w:rPr>
      </w:pPr>
    </w:p>
    <w:p w:rsidR="00AF12C0" w:rsidRPr="00AF12C0" w:rsidRDefault="00AF12C0" w:rsidP="00AF12C0">
      <w:pPr>
        <w:pStyle w:val="a3"/>
        <w:shd w:val="clear" w:color="auto" w:fill="FFFFFF"/>
        <w:spacing w:before="0" w:beforeAutospacing="0" w:after="115" w:afterAutospacing="0" w:line="183" w:lineRule="atLeast"/>
        <w:jc w:val="right"/>
        <w:rPr>
          <w:rFonts w:ascii="Arial" w:hAnsi="Arial" w:cs="Arial"/>
          <w:sz w:val="18"/>
          <w:szCs w:val="18"/>
        </w:rPr>
      </w:pPr>
      <w:r w:rsidRPr="00AF12C0">
        <w:rPr>
          <w:rFonts w:ascii="Arial" w:hAnsi="Arial" w:cs="Arial"/>
          <w:sz w:val="18"/>
          <w:szCs w:val="18"/>
        </w:rPr>
        <w:t xml:space="preserve">Приложение </w:t>
      </w:r>
      <w:r>
        <w:rPr>
          <w:rFonts w:ascii="Arial" w:hAnsi="Arial" w:cs="Arial"/>
          <w:sz w:val="18"/>
          <w:szCs w:val="18"/>
        </w:rPr>
        <w:t>№</w:t>
      </w:r>
      <w:r w:rsidRPr="00AF12C0">
        <w:rPr>
          <w:rFonts w:ascii="Arial" w:hAnsi="Arial" w:cs="Arial"/>
          <w:sz w:val="18"/>
          <w:szCs w:val="18"/>
        </w:rPr>
        <w:t xml:space="preserve"> 3</w:t>
      </w:r>
      <w:r w:rsidRPr="00AF12C0">
        <w:rPr>
          <w:rFonts w:ascii="Arial" w:hAnsi="Arial" w:cs="Arial"/>
          <w:sz w:val="18"/>
          <w:szCs w:val="18"/>
        </w:rPr>
        <w:br/>
        <w:t>к распоряжению Правительства</w:t>
      </w:r>
      <w:r w:rsidRPr="00AF12C0">
        <w:rPr>
          <w:rFonts w:ascii="Arial" w:hAnsi="Arial" w:cs="Arial"/>
          <w:sz w:val="18"/>
          <w:szCs w:val="18"/>
        </w:rPr>
        <w:br/>
        <w:t>Российской Федерации</w:t>
      </w:r>
      <w:r w:rsidRPr="00AF12C0">
        <w:rPr>
          <w:rFonts w:ascii="Arial" w:hAnsi="Arial" w:cs="Arial"/>
          <w:sz w:val="18"/>
          <w:szCs w:val="18"/>
        </w:rPr>
        <w:br/>
        <w:t xml:space="preserve">от 23 октября 2017 г. </w:t>
      </w:r>
      <w:r>
        <w:rPr>
          <w:rFonts w:ascii="Arial" w:hAnsi="Arial" w:cs="Arial"/>
          <w:sz w:val="18"/>
          <w:szCs w:val="18"/>
        </w:rPr>
        <w:t xml:space="preserve">№ </w:t>
      </w:r>
      <w:r w:rsidRPr="00AF12C0">
        <w:rPr>
          <w:rFonts w:ascii="Arial" w:hAnsi="Arial" w:cs="Arial"/>
          <w:sz w:val="18"/>
          <w:szCs w:val="18"/>
        </w:rPr>
        <w:t>2323-р</w:t>
      </w:r>
    </w:p>
    <w:p w:rsidR="00AF12C0" w:rsidRPr="00AF12C0" w:rsidRDefault="00AF12C0" w:rsidP="00AF12C0">
      <w:pPr>
        <w:pStyle w:val="a3"/>
        <w:shd w:val="clear" w:color="auto" w:fill="FFFFFF"/>
        <w:spacing w:before="0" w:beforeAutospacing="0" w:after="115" w:afterAutospacing="0" w:line="183" w:lineRule="atLeast"/>
        <w:jc w:val="center"/>
        <w:rPr>
          <w:rFonts w:ascii="Arial" w:hAnsi="Arial" w:cs="Arial"/>
          <w:b/>
          <w:sz w:val="18"/>
          <w:szCs w:val="18"/>
        </w:rPr>
      </w:pPr>
      <w:r w:rsidRPr="00AF12C0">
        <w:rPr>
          <w:rFonts w:ascii="Arial" w:hAnsi="Arial" w:cs="Arial"/>
          <w:b/>
          <w:sz w:val="18"/>
          <w:szCs w:val="18"/>
        </w:rPr>
        <w:t>I. Лекарственные препараты, которыми обеспечиваются больные гемофилией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35"/>
        <w:gridCol w:w="4295"/>
        <w:gridCol w:w="4435"/>
      </w:tblGrid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Код АТХ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Анатомо-терапевтическо-химическая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классификация (АТХ)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Лекарственные препараты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кровь и система кроветворения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B02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гемостатические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средства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B02B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витамин</w:t>
            </w:r>
            <w:proofErr w:type="gramStart"/>
            <w:r w:rsidRPr="00AF12C0">
              <w:rPr>
                <w:rFonts w:ascii="Arial" w:hAnsi="Arial" w:cs="Arial"/>
                <w:sz w:val="16"/>
                <w:szCs w:val="16"/>
              </w:rPr>
              <w:t xml:space="preserve"> К</w:t>
            </w:r>
            <w:proofErr w:type="gramEnd"/>
            <w:r w:rsidRPr="00AF12C0">
              <w:rPr>
                <w:rFonts w:ascii="Arial" w:hAnsi="Arial" w:cs="Arial"/>
                <w:sz w:val="16"/>
                <w:szCs w:val="16"/>
              </w:rPr>
              <w:t xml:space="preserve"> и другие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гемостатики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B02BD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факторы свертывания крови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антиингибиторный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коагулянтный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комплекс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мороктоког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альфа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нонаког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альфа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октоког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альфа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фактор свертывания крови VIII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фактор свертывания крови IX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 xml:space="preserve">фактор свертывания крови VIII + фактор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Виллебранда</w:t>
            </w:r>
            <w:proofErr w:type="spellEnd"/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эптаког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альфа (</w:t>
            </w:r>
            <w:proofErr w:type="gramStart"/>
            <w:r w:rsidRPr="00AF12C0">
              <w:rPr>
                <w:rFonts w:ascii="Arial" w:hAnsi="Arial" w:cs="Arial"/>
                <w:sz w:val="16"/>
                <w:szCs w:val="16"/>
              </w:rPr>
              <w:t>активированный</w:t>
            </w:r>
            <w:proofErr w:type="gramEnd"/>
            <w:r w:rsidRPr="00AF12C0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</w:tbl>
    <w:p w:rsidR="00AF12C0" w:rsidRPr="00AF12C0" w:rsidRDefault="00AF12C0" w:rsidP="00AF12C0">
      <w:pPr>
        <w:pStyle w:val="3"/>
        <w:shd w:val="clear" w:color="auto" w:fill="FFFFFF"/>
        <w:spacing w:before="230" w:after="173" w:line="225" w:lineRule="atLeast"/>
        <w:jc w:val="center"/>
        <w:rPr>
          <w:rFonts w:ascii="Arial" w:hAnsi="Arial" w:cs="Arial"/>
          <w:bCs w:val="0"/>
          <w:color w:val="auto"/>
          <w:sz w:val="18"/>
          <w:szCs w:val="18"/>
        </w:rPr>
      </w:pPr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II. Лекарственные препараты, которыми обеспечиваются больные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муковисцидозом</w:t>
      </w:r>
      <w:proofErr w:type="spellEnd"/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88"/>
        <w:gridCol w:w="6522"/>
        <w:gridCol w:w="2155"/>
      </w:tblGrid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Код АТХ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Анатомо-терапевтическо-химическая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классификация (АТХ)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Лекарственные препараты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дыхательная система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R05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R05C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R05CB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муколитические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препараты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дорназа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альфа</w:t>
            </w:r>
          </w:p>
        </w:tc>
      </w:tr>
    </w:tbl>
    <w:p w:rsidR="00AF12C0" w:rsidRPr="00AF12C0" w:rsidRDefault="00AF12C0" w:rsidP="00AF12C0">
      <w:pPr>
        <w:pStyle w:val="3"/>
        <w:shd w:val="clear" w:color="auto" w:fill="FFFFFF"/>
        <w:spacing w:before="230" w:after="173" w:line="225" w:lineRule="atLeast"/>
        <w:jc w:val="center"/>
        <w:rPr>
          <w:rFonts w:ascii="Arial" w:hAnsi="Arial" w:cs="Arial"/>
          <w:bCs w:val="0"/>
          <w:color w:val="auto"/>
          <w:sz w:val="18"/>
          <w:szCs w:val="18"/>
        </w:rPr>
      </w:pPr>
      <w:r w:rsidRPr="00AF12C0">
        <w:rPr>
          <w:rFonts w:ascii="Arial" w:hAnsi="Arial" w:cs="Arial"/>
          <w:bCs w:val="0"/>
          <w:color w:val="auto"/>
          <w:sz w:val="18"/>
          <w:szCs w:val="18"/>
        </w:rPr>
        <w:t>III. Лекарственные препараты, которыми обеспечиваются больные гипофизарным нанизмом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8"/>
        <w:gridCol w:w="6646"/>
        <w:gridCol w:w="2061"/>
      </w:tblGrid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Код АТХ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Анатомо-терапевтическо-химическая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классификация (АТХ)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Лекарственные препараты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H01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гормоны гипофиза и гипоталамуса и их аналоги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H01A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гормоны передней доли гипофиза и их аналоги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H01AС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соматропин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и его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агонисты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соматропин</w:t>
            </w:r>
            <w:proofErr w:type="spellEnd"/>
          </w:p>
        </w:tc>
      </w:tr>
    </w:tbl>
    <w:p w:rsidR="00AF12C0" w:rsidRPr="00AF12C0" w:rsidRDefault="00AF12C0" w:rsidP="00AF12C0">
      <w:pPr>
        <w:pStyle w:val="3"/>
        <w:shd w:val="clear" w:color="auto" w:fill="FFFFFF"/>
        <w:spacing w:before="230" w:after="173" w:line="225" w:lineRule="atLeast"/>
        <w:jc w:val="center"/>
        <w:rPr>
          <w:rFonts w:ascii="Arial" w:hAnsi="Arial" w:cs="Arial"/>
          <w:bCs w:val="0"/>
          <w:color w:val="auto"/>
          <w:sz w:val="18"/>
          <w:szCs w:val="18"/>
        </w:rPr>
      </w:pPr>
      <w:r w:rsidRPr="00AF12C0">
        <w:rPr>
          <w:rFonts w:ascii="Arial" w:hAnsi="Arial" w:cs="Arial"/>
          <w:bCs w:val="0"/>
          <w:color w:val="auto"/>
          <w:sz w:val="18"/>
          <w:szCs w:val="18"/>
        </w:rPr>
        <w:t>IV. Лекарственные препараты, которыми обеспечиваются больные болезнью Гоше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5"/>
        <w:gridCol w:w="5872"/>
        <w:gridCol w:w="2648"/>
      </w:tblGrid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Код АТХ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Анатомо-терапевтическо-химическая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классификация (АТХ)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Лекарственные препараты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пищеварительный тракт и обмен веществ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A16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 xml:space="preserve">другие препараты для лечения заболеваний </w:t>
            </w:r>
            <w:proofErr w:type="spellStart"/>
            <w:proofErr w:type="gramStart"/>
            <w:r w:rsidRPr="00AF12C0">
              <w:rPr>
                <w:rFonts w:ascii="Arial" w:hAnsi="Arial" w:cs="Arial"/>
                <w:sz w:val="16"/>
                <w:szCs w:val="16"/>
              </w:rPr>
              <w:t>желудочно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>-</w:t>
            </w:r>
            <w:r w:rsidRPr="00AF12C0">
              <w:rPr>
                <w:rFonts w:ascii="Arial" w:hAnsi="Arial" w:cs="Arial"/>
                <w:sz w:val="16"/>
                <w:szCs w:val="16"/>
              </w:rPr>
              <w:br/>
              <w:t>кишечного</w:t>
            </w:r>
            <w:proofErr w:type="gramEnd"/>
            <w:r w:rsidRPr="00AF12C0">
              <w:rPr>
                <w:rFonts w:ascii="Arial" w:hAnsi="Arial" w:cs="Arial"/>
                <w:sz w:val="16"/>
                <w:szCs w:val="16"/>
              </w:rPr>
              <w:t xml:space="preserve"> тракта и нарушений обмена веществ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lastRenderedPageBreak/>
              <w:t>A16A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 xml:space="preserve">другие препараты для лечения заболеваний </w:t>
            </w:r>
            <w:proofErr w:type="spellStart"/>
            <w:proofErr w:type="gramStart"/>
            <w:r w:rsidRPr="00AF12C0">
              <w:rPr>
                <w:rFonts w:ascii="Arial" w:hAnsi="Arial" w:cs="Arial"/>
                <w:sz w:val="16"/>
                <w:szCs w:val="16"/>
              </w:rPr>
              <w:t>желудочно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>-</w:t>
            </w:r>
            <w:r w:rsidRPr="00AF12C0">
              <w:rPr>
                <w:rFonts w:ascii="Arial" w:hAnsi="Arial" w:cs="Arial"/>
                <w:sz w:val="16"/>
                <w:szCs w:val="16"/>
              </w:rPr>
              <w:br/>
              <w:t>кишечного</w:t>
            </w:r>
            <w:proofErr w:type="gramEnd"/>
            <w:r w:rsidRPr="00AF12C0">
              <w:rPr>
                <w:rFonts w:ascii="Arial" w:hAnsi="Arial" w:cs="Arial"/>
                <w:sz w:val="16"/>
                <w:szCs w:val="16"/>
              </w:rPr>
              <w:t xml:space="preserve"> тракта и нарушений обмена веществ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A16AB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ферментные препараты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велаглюцераза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альфа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имиглюцераза</w:t>
            </w:r>
            <w:proofErr w:type="spellEnd"/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A16AX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 xml:space="preserve">прочие препараты для лечения заболеваний </w:t>
            </w:r>
            <w:proofErr w:type="spellStart"/>
            <w:proofErr w:type="gramStart"/>
            <w:r w:rsidRPr="00AF12C0">
              <w:rPr>
                <w:rFonts w:ascii="Arial" w:hAnsi="Arial" w:cs="Arial"/>
                <w:sz w:val="16"/>
                <w:szCs w:val="16"/>
              </w:rPr>
              <w:t>желудочно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>-</w:t>
            </w:r>
            <w:r w:rsidRPr="00AF12C0">
              <w:rPr>
                <w:rFonts w:ascii="Arial" w:hAnsi="Arial" w:cs="Arial"/>
                <w:sz w:val="16"/>
                <w:szCs w:val="16"/>
              </w:rPr>
              <w:br/>
              <w:t>кишечного</w:t>
            </w:r>
            <w:proofErr w:type="gramEnd"/>
            <w:r w:rsidRPr="00AF12C0">
              <w:rPr>
                <w:rFonts w:ascii="Arial" w:hAnsi="Arial" w:cs="Arial"/>
                <w:sz w:val="16"/>
                <w:szCs w:val="16"/>
              </w:rPr>
              <w:t xml:space="preserve"> тракта и нарушений обмена веществ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элиглустат</w:t>
            </w:r>
            <w:proofErr w:type="spellEnd"/>
          </w:p>
        </w:tc>
      </w:tr>
    </w:tbl>
    <w:p w:rsidR="00AF12C0" w:rsidRPr="00AF12C0" w:rsidRDefault="00AF12C0" w:rsidP="00AF12C0">
      <w:pPr>
        <w:pStyle w:val="3"/>
        <w:shd w:val="clear" w:color="auto" w:fill="FFFFFF"/>
        <w:spacing w:before="230" w:after="173" w:line="225" w:lineRule="atLeast"/>
        <w:jc w:val="center"/>
        <w:rPr>
          <w:rFonts w:ascii="Arial" w:hAnsi="Arial" w:cs="Arial"/>
          <w:bCs w:val="0"/>
          <w:color w:val="auto"/>
          <w:sz w:val="18"/>
          <w:szCs w:val="18"/>
        </w:rPr>
      </w:pPr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V. </w:t>
      </w:r>
      <w:proofErr w:type="gramStart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Лекарственные препараты, которыми обеспечиваются больные злокачественными новообразованиями лимфоидной, кроветворной и родственных им тканей (хронический миелоидный лейкоз,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макроглобулинемия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Вальденстрема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>, множественная миелома, фолликулярная (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нодулярная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)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неходжкинская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лимфома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, мелкоклеточная (диффузная)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неходжкинская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лимфома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, мелкоклеточная с расщепленными ядрами (диффузная)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неходжкинская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лимфома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, крупноклеточная (диффузная)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неходжкинская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лимфома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,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иммунобластная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(диффузная)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неходжкинская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лимфома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, другие типы диффузных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неходжкинских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лимфом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, диффузная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неходжкинская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лимфома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неуточненная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, другие и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неуточненные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типы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неходжкинской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лимфомы</w:t>
      </w:r>
      <w:proofErr w:type="spell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, хронический </w:t>
      </w:r>
      <w:proofErr w:type="spellStart"/>
      <w:r w:rsidRPr="00AF12C0">
        <w:rPr>
          <w:rFonts w:ascii="Arial" w:hAnsi="Arial" w:cs="Arial"/>
          <w:bCs w:val="0"/>
          <w:color w:val="auto"/>
          <w:sz w:val="18"/>
          <w:szCs w:val="18"/>
        </w:rPr>
        <w:t>лимфоцитарный</w:t>
      </w:r>
      <w:proofErr w:type="spellEnd"/>
      <w:proofErr w:type="gramEnd"/>
      <w:r w:rsidRPr="00AF12C0">
        <w:rPr>
          <w:rFonts w:ascii="Arial" w:hAnsi="Arial" w:cs="Arial"/>
          <w:bCs w:val="0"/>
          <w:color w:val="auto"/>
          <w:sz w:val="18"/>
          <w:szCs w:val="18"/>
        </w:rPr>
        <w:t xml:space="preserve"> лейкоз)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5"/>
        <w:gridCol w:w="5872"/>
        <w:gridCol w:w="2648"/>
      </w:tblGrid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Код АТХ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Анатомо-терапевтическо-химическая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классификация (АТХ)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Лекарственные препараты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 xml:space="preserve">противоопухолевые препараты и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иммуномодуляторы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противоопухолевые препараты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L01B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антиметаболиты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L01BB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аналоги пурина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флударабин</w:t>
            </w:r>
            <w:proofErr w:type="spellEnd"/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L01X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другие противоопухолевые препараты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L01XC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моноклональные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антитела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ритуксимаб</w:t>
            </w:r>
            <w:proofErr w:type="spellEnd"/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L01XE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 xml:space="preserve">ингибиторы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протеинкиназы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иматиниб</w:t>
            </w:r>
            <w:proofErr w:type="spellEnd"/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L01XX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прочие противоопухолевые препараты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бортезомиб</w:t>
            </w:r>
            <w:proofErr w:type="spellEnd"/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L04AX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другие иммунодепрессанты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леналидомид</w:t>
            </w:r>
            <w:proofErr w:type="spellEnd"/>
          </w:p>
        </w:tc>
      </w:tr>
    </w:tbl>
    <w:p w:rsidR="00AF12C0" w:rsidRPr="00AF12C0" w:rsidRDefault="00AF12C0" w:rsidP="00AF12C0">
      <w:pPr>
        <w:pStyle w:val="3"/>
        <w:shd w:val="clear" w:color="auto" w:fill="FFFFFF"/>
        <w:spacing w:before="230" w:after="173" w:line="225" w:lineRule="atLeast"/>
        <w:jc w:val="center"/>
        <w:rPr>
          <w:rFonts w:ascii="Arial" w:hAnsi="Arial" w:cs="Arial"/>
          <w:bCs w:val="0"/>
          <w:color w:val="auto"/>
          <w:sz w:val="18"/>
          <w:szCs w:val="18"/>
        </w:rPr>
      </w:pPr>
      <w:r w:rsidRPr="00AF12C0">
        <w:rPr>
          <w:rFonts w:ascii="Arial" w:hAnsi="Arial" w:cs="Arial"/>
          <w:bCs w:val="0"/>
          <w:color w:val="auto"/>
          <w:sz w:val="18"/>
          <w:szCs w:val="18"/>
        </w:rPr>
        <w:t>VI. Лекарственные препараты, которыми обеспечиваются больные рассеянным склерозом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5"/>
        <w:gridCol w:w="5872"/>
        <w:gridCol w:w="2648"/>
      </w:tblGrid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Код АТХ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Анатомо-терапевтическо-химическая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классификация (АТХ)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Лекарственные препараты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иммуностимуляторы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L03A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иммуностимуляторы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L03AB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интерфероны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интерферон бета-1a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интерферон бета-1b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L03AX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 xml:space="preserve">другие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иммуностимуляторы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глатирамера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ацетат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иммунодепрессанты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L04A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иммунодепрессанты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L04AA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селективные иммунодепрессанты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натализумаб</w:t>
            </w:r>
            <w:proofErr w:type="spellEnd"/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терифлуномид</w:t>
            </w:r>
            <w:proofErr w:type="spellEnd"/>
          </w:p>
        </w:tc>
      </w:tr>
    </w:tbl>
    <w:p w:rsidR="00AF12C0" w:rsidRPr="00AF12C0" w:rsidRDefault="00AF12C0" w:rsidP="00AF12C0">
      <w:pPr>
        <w:pStyle w:val="3"/>
        <w:shd w:val="clear" w:color="auto" w:fill="FFFFFF"/>
        <w:spacing w:before="230" w:after="173" w:line="225" w:lineRule="atLeast"/>
        <w:jc w:val="center"/>
        <w:rPr>
          <w:rFonts w:ascii="Arial" w:hAnsi="Arial" w:cs="Arial"/>
          <w:bCs w:val="0"/>
          <w:color w:val="auto"/>
          <w:sz w:val="18"/>
          <w:szCs w:val="18"/>
        </w:rPr>
      </w:pPr>
      <w:r w:rsidRPr="00AF12C0">
        <w:rPr>
          <w:rFonts w:ascii="Arial" w:hAnsi="Arial" w:cs="Arial"/>
          <w:bCs w:val="0"/>
          <w:color w:val="auto"/>
          <w:sz w:val="18"/>
          <w:szCs w:val="18"/>
        </w:rPr>
        <w:t>VII. Лекарственные препараты, которыми обеспечиваются пациенты после трансплантации органов и (или) тканей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5"/>
        <w:gridCol w:w="5872"/>
        <w:gridCol w:w="2648"/>
      </w:tblGrid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Код АТХ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Анатомо-терапевтическо-химическая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классификация (АТХ)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Лекарственные препараты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 xml:space="preserve">противоопухолевые препараты и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иммуномодуляторы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иммунодепрессанты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L04A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иммунодепрессанты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L04AA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селективные иммунодепрессанты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микофенолата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мофетил</w:t>
            </w:r>
            <w:proofErr w:type="spellEnd"/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микофеноловая</w:t>
            </w:r>
            <w:proofErr w:type="spellEnd"/>
            <w:r w:rsidRPr="00AF12C0">
              <w:rPr>
                <w:rFonts w:ascii="Arial" w:hAnsi="Arial" w:cs="Arial"/>
                <w:sz w:val="16"/>
                <w:szCs w:val="16"/>
              </w:rPr>
              <w:t xml:space="preserve"> кислота</w:t>
            </w:r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>L04AD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2C0">
              <w:rPr>
                <w:rFonts w:ascii="Arial" w:hAnsi="Arial" w:cs="Arial"/>
                <w:sz w:val="16"/>
                <w:szCs w:val="16"/>
              </w:rPr>
              <w:t xml:space="preserve">ингибиторы </w:t>
            </w: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кальциневрина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такролимус</w:t>
            </w:r>
            <w:proofErr w:type="spellEnd"/>
          </w:p>
        </w:tc>
      </w:tr>
      <w:tr w:rsidR="00AF12C0" w:rsidRPr="00AF12C0" w:rsidTr="00AF12C0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spacing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2C0" w:rsidRPr="00AF12C0" w:rsidRDefault="00AF12C0">
            <w:pPr>
              <w:pStyle w:val="a3"/>
              <w:spacing w:before="0" w:beforeAutospacing="0" w:after="115" w:afterAutospacing="0" w:line="183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2C0">
              <w:rPr>
                <w:rFonts w:ascii="Arial" w:hAnsi="Arial" w:cs="Arial"/>
                <w:sz w:val="16"/>
                <w:szCs w:val="16"/>
              </w:rPr>
              <w:t>циклоспорин</w:t>
            </w:r>
            <w:proofErr w:type="spellEnd"/>
          </w:p>
        </w:tc>
      </w:tr>
    </w:tbl>
    <w:p w:rsidR="00E40564" w:rsidRPr="00AF12C0" w:rsidRDefault="00E40564" w:rsidP="00AF12C0">
      <w:pPr>
        <w:shd w:val="clear" w:color="auto" w:fill="FFFFFF"/>
        <w:spacing w:after="0" w:line="240" w:lineRule="auto"/>
        <w:ind w:firstLine="709"/>
      </w:pPr>
    </w:p>
    <w:sectPr w:rsidR="00E40564" w:rsidRPr="00AF1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D7BB5"/>
    <w:rsid w:val="00AF12C0"/>
    <w:rsid w:val="00E40564"/>
    <w:rsid w:val="00ED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7B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F12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F12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7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D7B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ED7BB5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F12C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 Spacing"/>
    <w:uiPriority w:val="1"/>
    <w:qFormat/>
    <w:rsid w:val="00AF12C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AF12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9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93033">
                  <w:marLeft w:val="58"/>
                  <w:marRight w:val="5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98830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14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88651">
                  <w:marLeft w:val="58"/>
                  <w:marRight w:val="5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449150">
                      <w:marLeft w:val="0"/>
                      <w:marRight w:val="0"/>
                      <w:marTop w:val="46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134688">
                          <w:marLeft w:val="0"/>
                          <w:marRight w:val="5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24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234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4" w:space="0" w:color="E5E5E5"/>
                                    <w:right w:val="none" w:sz="0" w:space="0" w:color="auto"/>
                                  </w:divBdr>
                                  <w:divsChild>
                                    <w:div w:id="103758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0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dcterms:created xsi:type="dcterms:W3CDTF">2018-07-10T12:41:00Z</dcterms:created>
  <dcterms:modified xsi:type="dcterms:W3CDTF">2018-07-10T13:01:00Z</dcterms:modified>
</cp:coreProperties>
</file>